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河海大学201</w:t>
      </w:r>
      <w:r>
        <w:rPr>
          <w:rFonts w:hint="eastAsia" w:ascii="方正小标宋简体" w:eastAsia="方正小标宋简体"/>
          <w:sz w:val="44"/>
          <w:szCs w:val="44"/>
          <w:lang w:val="en-US" w:eastAsia="zh-CN"/>
        </w:rPr>
        <w:t>8</w:t>
      </w:r>
      <w:r>
        <w:rPr>
          <w:rFonts w:hint="eastAsia" w:ascii="方正小标宋简体" w:eastAsia="方正小标宋简体"/>
          <w:sz w:val="44"/>
          <w:szCs w:val="44"/>
        </w:rPr>
        <w:t>年度“优秀博士学位论文</w:t>
      </w:r>
    </w:p>
    <w:p>
      <w:pPr>
        <w:jc w:val="center"/>
        <w:rPr>
          <w:rFonts w:ascii="方正小标宋简体" w:eastAsia="方正小标宋简体"/>
          <w:sz w:val="44"/>
          <w:szCs w:val="44"/>
        </w:rPr>
      </w:pPr>
      <w:r>
        <w:rPr>
          <w:rFonts w:hint="eastAsia" w:ascii="方正小标宋简体" w:eastAsia="方正小标宋简体"/>
          <w:sz w:val="44"/>
          <w:szCs w:val="44"/>
        </w:rPr>
        <w:t>选拔培育”申报评审结果公示</w:t>
      </w:r>
    </w:p>
    <w:p>
      <w:pPr>
        <w:rPr>
          <w:rFonts w:ascii="仿宋_GB2312" w:eastAsia="仿宋_GB2312"/>
          <w:sz w:val="30"/>
          <w:szCs w:val="30"/>
        </w:rPr>
      </w:pPr>
      <w:r>
        <w:rPr>
          <w:rFonts w:hint="eastAsia" w:ascii="仿宋_GB2312" w:eastAsia="仿宋_GB2312"/>
          <w:sz w:val="30"/>
          <w:szCs w:val="30"/>
        </w:rPr>
        <w:t>各学院：</w:t>
      </w:r>
    </w:p>
    <w:p>
      <w:pPr>
        <w:rPr>
          <w:rFonts w:hint="eastAsia" w:ascii="仿宋_GB2312" w:eastAsia="仿宋_GB2312"/>
          <w:sz w:val="30"/>
          <w:szCs w:val="30"/>
        </w:rPr>
      </w:pPr>
      <w:r>
        <w:rPr>
          <w:rFonts w:hint="eastAsia" w:ascii="仿宋_GB2312" w:eastAsia="仿宋_GB2312"/>
          <w:sz w:val="30"/>
          <w:szCs w:val="30"/>
        </w:rPr>
        <w:t xml:space="preserve">    根据</w:t>
      </w:r>
      <w:bookmarkStart w:id="0" w:name="文件标题"/>
      <w:r>
        <w:rPr>
          <w:rFonts w:eastAsia="仿宋_GB2312"/>
          <w:bCs/>
          <w:color w:val="000000"/>
          <w:kern w:val="0"/>
          <w:sz w:val="30"/>
          <w:szCs w:val="30"/>
        </w:rPr>
        <w:t>《河海大学关于印发〈河海大学研究生优秀学位论文培育与评选办法〉的通知</w:t>
      </w:r>
      <w:bookmarkEnd w:id="0"/>
      <w:r>
        <w:rPr>
          <w:rFonts w:eastAsia="仿宋_GB2312"/>
          <w:bCs/>
          <w:color w:val="000000"/>
          <w:kern w:val="0"/>
          <w:sz w:val="30"/>
          <w:szCs w:val="30"/>
        </w:rPr>
        <w:t>》</w:t>
      </w:r>
      <w:r>
        <w:rPr>
          <w:rFonts w:hint="eastAsia" w:ascii="仿宋_GB2312" w:eastAsia="仿宋_GB2312"/>
          <w:sz w:val="30"/>
          <w:szCs w:val="30"/>
        </w:rPr>
        <w:t>（河海校科教〔</w:t>
      </w:r>
      <w:bookmarkStart w:id="1" w:name="年份"/>
      <w:r>
        <w:rPr>
          <w:rFonts w:hint="eastAsia" w:ascii="仿宋_GB2312" w:eastAsia="仿宋_GB2312"/>
          <w:sz w:val="30"/>
          <w:szCs w:val="30"/>
        </w:rPr>
        <w:t>20</w:t>
      </w:r>
      <w:bookmarkEnd w:id="1"/>
      <w:r>
        <w:rPr>
          <w:rFonts w:hint="eastAsia" w:ascii="仿宋_GB2312" w:eastAsia="仿宋_GB2312"/>
          <w:sz w:val="30"/>
          <w:szCs w:val="30"/>
        </w:rPr>
        <w:t>10〕76号）及《关于申报“201</w:t>
      </w:r>
      <w:r>
        <w:rPr>
          <w:rFonts w:hint="eastAsia" w:ascii="仿宋_GB2312" w:eastAsia="仿宋_GB2312"/>
          <w:sz w:val="30"/>
          <w:szCs w:val="30"/>
          <w:lang w:val="en-US" w:eastAsia="zh-CN"/>
        </w:rPr>
        <w:t>8</w:t>
      </w:r>
      <w:r>
        <w:rPr>
          <w:rFonts w:hint="eastAsia" w:ascii="仿宋_GB2312" w:eastAsia="仿宋_GB2312"/>
          <w:sz w:val="30"/>
          <w:szCs w:val="30"/>
        </w:rPr>
        <w:t>年度河海大学优秀博士、硕士学位论文培育计划”项目的通知》文件精神，学校组织专家对各学院申报项目进行评审，现将评审结果公示。各学院或个人如对评审结果有异议，请与201</w:t>
      </w:r>
      <w:r>
        <w:rPr>
          <w:rFonts w:hint="eastAsia" w:ascii="仿宋_GB2312" w:eastAsia="仿宋_GB2312"/>
          <w:sz w:val="30"/>
          <w:szCs w:val="30"/>
          <w:lang w:val="en-US" w:eastAsia="zh-CN"/>
        </w:rPr>
        <w:t>8</w:t>
      </w:r>
      <w:r>
        <w:rPr>
          <w:rFonts w:hint="eastAsia" w:ascii="仿宋_GB2312" w:eastAsia="仿宋_GB2312"/>
          <w:sz w:val="30"/>
          <w:szCs w:val="30"/>
        </w:rPr>
        <w:t>年12月</w:t>
      </w:r>
      <w:r>
        <w:rPr>
          <w:rFonts w:hint="eastAsia" w:ascii="仿宋_GB2312" w:eastAsia="仿宋_GB2312"/>
          <w:sz w:val="30"/>
          <w:szCs w:val="30"/>
          <w:lang w:val="en-US" w:eastAsia="zh-CN"/>
        </w:rPr>
        <w:t>6</w:t>
      </w:r>
      <w:r>
        <w:rPr>
          <w:rFonts w:hint="eastAsia" w:ascii="仿宋_GB2312" w:eastAsia="仿宋_GB2312"/>
          <w:sz w:val="30"/>
          <w:szCs w:val="30"/>
        </w:rPr>
        <w:t>日下午17：00之前以书面材料反映至研究生院学位办公室，联系电话：8378</w:t>
      </w:r>
      <w:r>
        <w:rPr>
          <w:rFonts w:hint="eastAsia" w:ascii="仿宋_GB2312" w:eastAsia="仿宋_GB2312"/>
          <w:sz w:val="30"/>
          <w:szCs w:val="30"/>
          <w:lang w:val="en-US" w:eastAsia="zh-CN"/>
        </w:rPr>
        <w:t>7464</w:t>
      </w:r>
      <w:r>
        <w:rPr>
          <w:rFonts w:hint="eastAsia" w:ascii="仿宋_GB2312" w:eastAsia="仿宋_GB2312"/>
          <w:sz w:val="30"/>
          <w:szCs w:val="30"/>
        </w:rPr>
        <w:t>。</w:t>
      </w:r>
    </w:p>
    <w:p/>
    <w:p/>
    <w:p/>
    <w:p/>
    <w:p/>
    <w:p>
      <w:pPr>
        <w:rPr>
          <w:sz w:val="30"/>
          <w:szCs w:val="30"/>
        </w:rPr>
      </w:pPr>
      <w:r>
        <w:rPr>
          <w:rFonts w:hint="eastAsia"/>
        </w:rPr>
        <w:t xml:space="preserve">                                                 </w:t>
      </w:r>
      <w:r>
        <w:rPr>
          <w:rFonts w:hint="eastAsia"/>
          <w:sz w:val="30"/>
          <w:szCs w:val="30"/>
        </w:rPr>
        <w:t xml:space="preserve"> </w:t>
      </w:r>
      <w:r>
        <w:rPr>
          <w:rFonts w:hint="eastAsia"/>
          <w:sz w:val="30"/>
          <w:szCs w:val="30"/>
          <w:lang w:val="en-US" w:eastAsia="zh-CN"/>
        </w:rPr>
        <w:t xml:space="preserve">  </w:t>
      </w:r>
      <w:r>
        <w:rPr>
          <w:rFonts w:hint="eastAsia"/>
          <w:sz w:val="30"/>
          <w:szCs w:val="30"/>
        </w:rPr>
        <w:t>河海大学研究生院</w:t>
      </w:r>
    </w:p>
    <w:p>
      <w:pPr>
        <w:ind w:left="6300" w:hanging="6300" w:hangingChars="2100"/>
        <w:rPr>
          <w:rFonts w:hint="eastAsia" w:eastAsia="宋体"/>
          <w:sz w:val="30"/>
          <w:szCs w:val="30"/>
          <w:lang w:val="en-US" w:eastAsia="zh-CN"/>
        </w:rPr>
      </w:pPr>
      <w:r>
        <w:rPr>
          <w:rFonts w:hint="eastAsia"/>
          <w:sz w:val="30"/>
          <w:szCs w:val="30"/>
        </w:rPr>
        <w:t xml:space="preserve">                                                          201</w:t>
      </w:r>
      <w:r>
        <w:rPr>
          <w:rFonts w:hint="eastAsia"/>
          <w:sz w:val="30"/>
          <w:szCs w:val="30"/>
          <w:lang w:val="en-US" w:eastAsia="zh-CN"/>
        </w:rPr>
        <w:t>8</w:t>
      </w:r>
      <w:r>
        <w:rPr>
          <w:rFonts w:hint="eastAsia"/>
          <w:sz w:val="30"/>
          <w:szCs w:val="30"/>
        </w:rPr>
        <w:t>.1</w:t>
      </w:r>
      <w:r>
        <w:rPr>
          <w:rFonts w:hint="eastAsia"/>
          <w:sz w:val="30"/>
          <w:szCs w:val="30"/>
          <w:lang w:val="en-US" w:eastAsia="zh-CN"/>
        </w:rPr>
        <w:t>2</w:t>
      </w:r>
      <w:r>
        <w:rPr>
          <w:rFonts w:hint="eastAsia"/>
          <w:sz w:val="30"/>
          <w:szCs w:val="30"/>
        </w:rPr>
        <w:t>.</w:t>
      </w:r>
      <w:r>
        <w:rPr>
          <w:rFonts w:hint="eastAsia"/>
          <w:sz w:val="30"/>
          <w:szCs w:val="30"/>
          <w:lang w:val="en-US" w:eastAsia="zh-CN"/>
        </w:rPr>
        <w:t>3</w:t>
      </w:r>
    </w:p>
    <w:p>
      <w:pPr>
        <w:ind w:left="6300" w:hanging="6300" w:hangingChars="2100"/>
        <w:rPr>
          <w:sz w:val="30"/>
          <w:szCs w:val="30"/>
        </w:rPr>
      </w:pPr>
    </w:p>
    <w:p>
      <w:pPr>
        <w:ind w:left="6300" w:hanging="6300" w:hangingChars="2100"/>
        <w:rPr>
          <w:sz w:val="30"/>
          <w:szCs w:val="30"/>
        </w:rPr>
      </w:pPr>
    </w:p>
    <w:p>
      <w:pPr>
        <w:ind w:left="6300" w:hanging="6300" w:hangingChars="2100"/>
        <w:rPr>
          <w:sz w:val="30"/>
          <w:szCs w:val="30"/>
        </w:rPr>
      </w:pPr>
    </w:p>
    <w:p>
      <w:pPr>
        <w:ind w:left="6300" w:hanging="6300" w:hangingChars="2100"/>
        <w:rPr>
          <w:sz w:val="30"/>
          <w:szCs w:val="30"/>
        </w:rPr>
      </w:pPr>
    </w:p>
    <w:p>
      <w:pPr>
        <w:rPr>
          <w:sz w:val="30"/>
          <w:szCs w:val="30"/>
        </w:rPr>
      </w:pPr>
    </w:p>
    <w:p>
      <w:pPr>
        <w:rPr>
          <w:sz w:val="30"/>
          <w:szCs w:val="30"/>
        </w:rPr>
      </w:pPr>
    </w:p>
    <w:p>
      <w:pPr>
        <w:rPr>
          <w:sz w:val="30"/>
          <w:szCs w:val="30"/>
        </w:rPr>
      </w:pPr>
    </w:p>
    <w:p>
      <w:pPr>
        <w:ind w:left="5881" w:leftChars="267" w:hanging="5320" w:hangingChars="1900"/>
        <w:rPr>
          <w:rFonts w:ascii="方正小标宋简体" w:eastAsia="方正小标宋简体"/>
          <w:sz w:val="28"/>
          <w:szCs w:val="28"/>
        </w:rPr>
      </w:pPr>
      <w:r>
        <w:rPr>
          <w:rFonts w:hint="eastAsia" w:ascii="方正小标宋简体" w:eastAsia="方正小标宋简体"/>
          <w:sz w:val="28"/>
          <w:szCs w:val="28"/>
        </w:rPr>
        <w:t>河海大学201</w:t>
      </w:r>
      <w:r>
        <w:rPr>
          <w:rFonts w:hint="eastAsia" w:ascii="方正小标宋简体" w:eastAsia="方正小标宋简体"/>
          <w:sz w:val="28"/>
          <w:szCs w:val="28"/>
          <w:lang w:val="en-US" w:eastAsia="zh-CN"/>
        </w:rPr>
        <w:t>8</w:t>
      </w:r>
      <w:r>
        <w:rPr>
          <w:rFonts w:hint="eastAsia" w:ascii="方正小标宋简体" w:eastAsia="方正小标宋简体"/>
          <w:sz w:val="28"/>
          <w:szCs w:val="28"/>
        </w:rPr>
        <w:t>年度“优秀博士学位论文选拔培育”人员名单</w:t>
      </w:r>
    </w:p>
    <w:tbl>
      <w:tblPr>
        <w:tblStyle w:val="6"/>
        <w:tblW w:w="853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420"/>
        <w:gridCol w:w="780"/>
        <w:gridCol w:w="942"/>
        <w:gridCol w:w="1599"/>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序号</w:t>
            </w:r>
          </w:p>
        </w:tc>
        <w:tc>
          <w:tcPr>
            <w:tcW w:w="1420"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学号</w:t>
            </w:r>
          </w:p>
        </w:tc>
        <w:tc>
          <w:tcPr>
            <w:tcW w:w="780"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姓名</w:t>
            </w:r>
          </w:p>
        </w:tc>
        <w:tc>
          <w:tcPr>
            <w:tcW w:w="942" w:type="dxa"/>
            <w:vMerge w:val="restart"/>
            <w:shd w:val="clear" w:color="auto" w:fill="auto"/>
            <w:vAlign w:val="bottom"/>
          </w:tcPr>
          <w:p>
            <w:pPr>
              <w:widowControl/>
              <w:jc w:val="center"/>
              <w:rPr>
                <w:b/>
                <w:bCs/>
                <w:kern w:val="0"/>
                <w:sz w:val="20"/>
                <w:szCs w:val="20"/>
              </w:rPr>
            </w:pPr>
            <w:r>
              <w:rPr>
                <w:rFonts w:hint="eastAsia" w:ascii="宋体" w:hAnsi="宋体"/>
                <w:b/>
                <w:bCs/>
                <w:kern w:val="0"/>
                <w:sz w:val="20"/>
                <w:szCs w:val="20"/>
              </w:rPr>
              <w:t>攻读学位类型（直博</w:t>
            </w:r>
            <w:r>
              <w:rPr>
                <w:b/>
                <w:bCs/>
                <w:kern w:val="0"/>
                <w:sz w:val="20"/>
                <w:szCs w:val="20"/>
              </w:rPr>
              <w:t>/</w:t>
            </w:r>
            <w:r>
              <w:rPr>
                <w:rFonts w:hint="eastAsia" w:ascii="宋体" w:hAnsi="宋体"/>
                <w:b/>
                <w:bCs/>
                <w:kern w:val="0"/>
                <w:sz w:val="20"/>
                <w:szCs w:val="20"/>
              </w:rPr>
              <w:t>硕博</w:t>
            </w:r>
            <w:r>
              <w:rPr>
                <w:b/>
                <w:bCs/>
                <w:kern w:val="0"/>
                <w:sz w:val="20"/>
                <w:szCs w:val="20"/>
              </w:rPr>
              <w:t>/</w:t>
            </w:r>
            <w:r>
              <w:rPr>
                <w:rFonts w:hint="eastAsia" w:ascii="宋体" w:hAnsi="宋体"/>
                <w:b/>
                <w:bCs/>
                <w:kern w:val="0"/>
                <w:sz w:val="20"/>
                <w:szCs w:val="20"/>
              </w:rPr>
              <w:t>普博）</w:t>
            </w:r>
          </w:p>
        </w:tc>
        <w:tc>
          <w:tcPr>
            <w:tcW w:w="1599"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二级学科名称</w:t>
            </w:r>
          </w:p>
        </w:tc>
        <w:tc>
          <w:tcPr>
            <w:tcW w:w="3375"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vMerge w:val="continue"/>
            <w:vAlign w:val="center"/>
          </w:tcPr>
          <w:p>
            <w:pPr>
              <w:widowControl/>
              <w:jc w:val="left"/>
              <w:rPr>
                <w:b/>
                <w:bCs/>
                <w:kern w:val="0"/>
                <w:sz w:val="20"/>
                <w:szCs w:val="20"/>
              </w:rPr>
            </w:pPr>
          </w:p>
        </w:tc>
        <w:tc>
          <w:tcPr>
            <w:tcW w:w="1420" w:type="dxa"/>
            <w:vMerge w:val="continue"/>
            <w:vAlign w:val="center"/>
          </w:tcPr>
          <w:p>
            <w:pPr>
              <w:widowControl/>
              <w:jc w:val="left"/>
              <w:rPr>
                <w:b/>
                <w:bCs/>
                <w:kern w:val="0"/>
                <w:sz w:val="20"/>
                <w:szCs w:val="20"/>
              </w:rPr>
            </w:pPr>
          </w:p>
        </w:tc>
        <w:tc>
          <w:tcPr>
            <w:tcW w:w="780" w:type="dxa"/>
            <w:vMerge w:val="continue"/>
            <w:vAlign w:val="center"/>
          </w:tcPr>
          <w:p>
            <w:pPr>
              <w:widowControl/>
              <w:jc w:val="left"/>
              <w:rPr>
                <w:b/>
                <w:bCs/>
                <w:kern w:val="0"/>
                <w:sz w:val="20"/>
                <w:szCs w:val="20"/>
              </w:rPr>
            </w:pPr>
          </w:p>
        </w:tc>
        <w:tc>
          <w:tcPr>
            <w:tcW w:w="942" w:type="dxa"/>
            <w:vMerge w:val="continue"/>
            <w:vAlign w:val="center"/>
          </w:tcPr>
          <w:p>
            <w:pPr>
              <w:widowControl/>
              <w:jc w:val="left"/>
              <w:rPr>
                <w:b/>
                <w:bCs/>
                <w:kern w:val="0"/>
                <w:sz w:val="20"/>
                <w:szCs w:val="20"/>
              </w:rPr>
            </w:pPr>
          </w:p>
        </w:tc>
        <w:tc>
          <w:tcPr>
            <w:tcW w:w="1599" w:type="dxa"/>
            <w:vMerge w:val="continue"/>
            <w:vAlign w:val="center"/>
          </w:tcPr>
          <w:p>
            <w:pPr>
              <w:widowControl/>
              <w:jc w:val="left"/>
              <w:rPr>
                <w:b/>
                <w:bCs/>
                <w:kern w:val="0"/>
                <w:sz w:val="20"/>
                <w:szCs w:val="20"/>
              </w:rPr>
            </w:pPr>
          </w:p>
        </w:tc>
        <w:tc>
          <w:tcPr>
            <w:tcW w:w="3375" w:type="dxa"/>
            <w:vMerge w:val="continue"/>
            <w:vAlign w:val="center"/>
          </w:tcPr>
          <w:p>
            <w:pPr>
              <w:widowControl/>
              <w:jc w:val="left"/>
              <w:rPr>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417" w:type="dxa"/>
            <w:vMerge w:val="continue"/>
            <w:vAlign w:val="center"/>
          </w:tcPr>
          <w:p>
            <w:pPr>
              <w:widowControl/>
              <w:jc w:val="left"/>
              <w:rPr>
                <w:b/>
                <w:bCs/>
                <w:kern w:val="0"/>
                <w:sz w:val="20"/>
                <w:szCs w:val="20"/>
              </w:rPr>
            </w:pPr>
          </w:p>
        </w:tc>
        <w:tc>
          <w:tcPr>
            <w:tcW w:w="1420" w:type="dxa"/>
            <w:vMerge w:val="continue"/>
            <w:vAlign w:val="center"/>
          </w:tcPr>
          <w:p>
            <w:pPr>
              <w:widowControl/>
              <w:jc w:val="left"/>
              <w:rPr>
                <w:b/>
                <w:bCs/>
                <w:kern w:val="0"/>
                <w:sz w:val="20"/>
                <w:szCs w:val="20"/>
              </w:rPr>
            </w:pPr>
          </w:p>
        </w:tc>
        <w:tc>
          <w:tcPr>
            <w:tcW w:w="780" w:type="dxa"/>
            <w:vMerge w:val="continue"/>
            <w:vAlign w:val="center"/>
          </w:tcPr>
          <w:p>
            <w:pPr>
              <w:widowControl/>
              <w:jc w:val="left"/>
              <w:rPr>
                <w:b/>
                <w:bCs/>
                <w:kern w:val="0"/>
                <w:sz w:val="20"/>
                <w:szCs w:val="20"/>
              </w:rPr>
            </w:pPr>
          </w:p>
        </w:tc>
        <w:tc>
          <w:tcPr>
            <w:tcW w:w="942" w:type="dxa"/>
            <w:vMerge w:val="continue"/>
            <w:vAlign w:val="center"/>
          </w:tcPr>
          <w:p>
            <w:pPr>
              <w:widowControl/>
              <w:jc w:val="left"/>
              <w:rPr>
                <w:b/>
                <w:bCs/>
                <w:kern w:val="0"/>
                <w:sz w:val="20"/>
                <w:szCs w:val="20"/>
              </w:rPr>
            </w:pPr>
          </w:p>
        </w:tc>
        <w:tc>
          <w:tcPr>
            <w:tcW w:w="1599" w:type="dxa"/>
            <w:vMerge w:val="continue"/>
            <w:vAlign w:val="center"/>
          </w:tcPr>
          <w:p>
            <w:pPr>
              <w:widowControl/>
              <w:jc w:val="left"/>
              <w:rPr>
                <w:b/>
                <w:bCs/>
                <w:kern w:val="0"/>
                <w:sz w:val="20"/>
                <w:szCs w:val="20"/>
              </w:rPr>
            </w:pPr>
          </w:p>
        </w:tc>
        <w:tc>
          <w:tcPr>
            <w:tcW w:w="3375" w:type="dxa"/>
            <w:vMerge w:val="continue"/>
            <w:vAlign w:val="center"/>
          </w:tcPr>
          <w:p>
            <w:pPr>
              <w:widowControl/>
              <w:jc w:val="left"/>
              <w:rPr>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shd w:val="clear" w:color="auto" w:fill="auto"/>
            <w:vAlign w:val="center"/>
          </w:tcPr>
          <w:p>
            <w:pPr>
              <w:widowControl/>
              <w:jc w:val="center"/>
              <w:rPr>
                <w:kern w:val="0"/>
                <w:sz w:val="18"/>
                <w:szCs w:val="18"/>
              </w:rPr>
            </w:pPr>
            <w:r>
              <w:rPr>
                <w:kern w:val="0"/>
                <w:sz w:val="18"/>
                <w:szCs w:val="18"/>
              </w:rPr>
              <w:t>1</w:t>
            </w:r>
          </w:p>
        </w:tc>
        <w:tc>
          <w:tcPr>
            <w:tcW w:w="1420" w:type="dxa"/>
            <w:shd w:val="clear" w:color="auto" w:fill="auto"/>
            <w:vAlign w:val="center"/>
          </w:tcPr>
          <w:p>
            <w:pPr>
              <w:widowControl/>
              <w:jc w:val="center"/>
              <w:rPr>
                <w:kern w:val="0"/>
                <w:sz w:val="18"/>
                <w:szCs w:val="18"/>
              </w:rPr>
            </w:pPr>
            <w:r>
              <w:rPr>
                <w:rFonts w:hint="eastAsia"/>
                <w:kern w:val="0"/>
                <w:sz w:val="18"/>
                <w:szCs w:val="18"/>
              </w:rPr>
              <w:t>160201010005</w:t>
            </w:r>
          </w:p>
        </w:tc>
        <w:tc>
          <w:tcPr>
            <w:tcW w:w="780"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徐世琴</w:t>
            </w:r>
          </w:p>
        </w:tc>
        <w:tc>
          <w:tcPr>
            <w:tcW w:w="942" w:type="dxa"/>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普</w:t>
            </w:r>
            <w:r>
              <w:rPr>
                <w:rFonts w:hint="eastAsia" w:ascii="宋体" w:hAnsi="宋体" w:cs="宋体"/>
                <w:kern w:val="0"/>
                <w:sz w:val="18"/>
                <w:szCs w:val="18"/>
                <w:lang w:val="en-US" w:eastAsia="zh-CN"/>
              </w:rPr>
              <w:t xml:space="preserve"> </w:t>
            </w:r>
            <w:r>
              <w:rPr>
                <w:rFonts w:hint="eastAsia" w:ascii="宋体" w:hAnsi="宋体" w:cs="宋体"/>
                <w:kern w:val="0"/>
                <w:sz w:val="18"/>
                <w:szCs w:val="18"/>
              </w:rPr>
              <w:t>博</w:t>
            </w:r>
          </w:p>
        </w:tc>
        <w:tc>
          <w:tcPr>
            <w:tcW w:w="1599" w:type="dxa"/>
            <w:shd w:val="clear" w:color="auto" w:fill="auto"/>
            <w:vAlign w:val="center"/>
          </w:tcPr>
          <w:p>
            <w:pPr>
              <w:widowControl/>
              <w:jc w:val="center"/>
              <w:rPr>
                <w:rFonts w:ascii="宋体" w:hAnsi="宋体" w:cs="宋体"/>
                <w:kern w:val="0"/>
                <w:sz w:val="18"/>
                <w:szCs w:val="18"/>
              </w:rPr>
            </w:pPr>
            <w:r>
              <w:rPr>
                <w:rFonts w:hint="eastAsia"/>
                <w:kern w:val="0"/>
                <w:sz w:val="18"/>
                <w:szCs w:val="18"/>
              </w:rPr>
              <w:t>水文学及水资源</w:t>
            </w:r>
          </w:p>
        </w:tc>
        <w:tc>
          <w:tcPr>
            <w:tcW w:w="3375"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变化环境下黄河源区蒸散发时空变化及其遥感反演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vAlign w:val="center"/>
          </w:tcPr>
          <w:p>
            <w:pPr>
              <w:widowControl/>
              <w:jc w:val="center"/>
              <w:rPr>
                <w:rFonts w:hint="eastAsia" w:eastAsia="宋体"/>
                <w:kern w:val="0"/>
                <w:sz w:val="18"/>
                <w:szCs w:val="18"/>
                <w:lang w:val="en-US" w:eastAsia="zh-CN"/>
              </w:rPr>
            </w:pPr>
            <w:r>
              <w:rPr>
                <w:rFonts w:hint="eastAsia"/>
                <w:kern w:val="0"/>
                <w:sz w:val="18"/>
                <w:szCs w:val="18"/>
                <w:lang w:val="en-US" w:eastAsia="zh-CN"/>
              </w:rPr>
              <w:t>2</w:t>
            </w:r>
          </w:p>
        </w:tc>
        <w:tc>
          <w:tcPr>
            <w:tcW w:w="1420" w:type="dxa"/>
            <w:vAlign w:val="center"/>
          </w:tcPr>
          <w:p>
            <w:pPr>
              <w:widowControl/>
              <w:jc w:val="left"/>
              <w:rPr>
                <w:kern w:val="0"/>
                <w:sz w:val="18"/>
                <w:szCs w:val="18"/>
              </w:rPr>
            </w:pPr>
            <w:r>
              <w:rPr>
                <w:rFonts w:hint="eastAsia"/>
                <w:kern w:val="0"/>
                <w:sz w:val="18"/>
                <w:szCs w:val="18"/>
              </w:rPr>
              <w:t>160201010007</w:t>
            </w:r>
          </w:p>
        </w:tc>
        <w:tc>
          <w:tcPr>
            <w:tcW w:w="780" w:type="dxa"/>
            <w:vAlign w:val="center"/>
          </w:tcPr>
          <w:p>
            <w:pPr>
              <w:widowControl/>
              <w:jc w:val="left"/>
              <w:rPr>
                <w:rFonts w:ascii="宋体" w:hAnsi="宋体" w:cs="宋体"/>
                <w:kern w:val="0"/>
                <w:sz w:val="18"/>
                <w:szCs w:val="18"/>
              </w:rPr>
            </w:pPr>
            <w:r>
              <w:rPr>
                <w:rFonts w:hint="eastAsia" w:ascii="宋体" w:hAnsi="宋体" w:cs="宋体"/>
                <w:kern w:val="0"/>
                <w:sz w:val="18"/>
                <w:szCs w:val="18"/>
              </w:rPr>
              <w:t>丁一民</w:t>
            </w:r>
          </w:p>
        </w:tc>
        <w:tc>
          <w:tcPr>
            <w:tcW w:w="942" w:type="dxa"/>
            <w:vAlign w:val="center"/>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普</w:t>
            </w:r>
            <w:r>
              <w:rPr>
                <w:rFonts w:hint="eastAsia" w:ascii="宋体" w:hAnsi="宋体" w:cs="宋体"/>
                <w:kern w:val="0"/>
                <w:sz w:val="18"/>
                <w:szCs w:val="18"/>
                <w:lang w:val="en-US" w:eastAsia="zh-CN"/>
              </w:rPr>
              <w:t xml:space="preserve"> </w:t>
            </w:r>
            <w:r>
              <w:rPr>
                <w:rFonts w:hint="eastAsia" w:ascii="宋体" w:hAnsi="宋体" w:cs="宋体"/>
                <w:kern w:val="0"/>
                <w:sz w:val="18"/>
                <w:szCs w:val="18"/>
              </w:rPr>
              <w:t>博</w:t>
            </w:r>
          </w:p>
        </w:tc>
        <w:tc>
          <w:tcPr>
            <w:tcW w:w="1599" w:type="dxa"/>
            <w:vAlign w:val="center"/>
          </w:tcPr>
          <w:p>
            <w:pPr>
              <w:widowControl/>
              <w:jc w:val="left"/>
              <w:rPr>
                <w:rFonts w:ascii="宋体" w:hAnsi="宋体" w:cs="宋体"/>
                <w:kern w:val="0"/>
                <w:sz w:val="18"/>
                <w:szCs w:val="18"/>
              </w:rPr>
            </w:pPr>
            <w:r>
              <w:rPr>
                <w:rFonts w:hint="eastAsia"/>
                <w:kern w:val="0"/>
                <w:sz w:val="18"/>
                <w:szCs w:val="18"/>
              </w:rPr>
              <w:t>水文学及水资源</w:t>
            </w:r>
          </w:p>
        </w:tc>
        <w:tc>
          <w:tcPr>
            <w:tcW w:w="3375" w:type="dxa"/>
            <w:vAlign w:val="center"/>
          </w:tcPr>
          <w:p>
            <w:pPr>
              <w:widowControl/>
              <w:ind w:left="360" w:hanging="360" w:hangingChars="200"/>
              <w:jc w:val="left"/>
              <w:rPr>
                <w:rFonts w:ascii="宋体" w:hAnsi="宋体" w:cs="宋体"/>
                <w:kern w:val="0"/>
                <w:sz w:val="18"/>
                <w:szCs w:val="18"/>
              </w:rPr>
            </w:pPr>
            <w:r>
              <w:rPr>
                <w:rFonts w:hint="eastAsia" w:ascii="宋体" w:hAnsi="宋体" w:cs="宋体"/>
                <w:kern w:val="0"/>
                <w:sz w:val="18"/>
                <w:szCs w:val="18"/>
              </w:rPr>
              <w:t>基于作物模型与多源遥感融合的水稻灌溉管理及水分利用效率评估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417" w:type="dxa"/>
            <w:shd w:val="clear" w:color="auto" w:fill="auto"/>
            <w:vAlign w:val="center"/>
          </w:tcPr>
          <w:p>
            <w:pPr>
              <w:widowControl/>
              <w:jc w:val="center"/>
              <w:rPr>
                <w:rFonts w:hint="eastAsia" w:eastAsia="宋体"/>
                <w:kern w:val="0"/>
                <w:sz w:val="18"/>
                <w:szCs w:val="18"/>
                <w:lang w:val="en-US" w:eastAsia="zh-CN"/>
              </w:rPr>
            </w:pPr>
            <w:r>
              <w:rPr>
                <w:rFonts w:hint="eastAsia"/>
                <w:kern w:val="0"/>
                <w:sz w:val="18"/>
                <w:szCs w:val="18"/>
                <w:lang w:val="en-US" w:eastAsia="zh-CN"/>
              </w:rPr>
              <w:t>3</w:t>
            </w:r>
          </w:p>
        </w:tc>
        <w:tc>
          <w:tcPr>
            <w:tcW w:w="1420" w:type="dxa"/>
            <w:shd w:val="clear" w:color="auto" w:fill="auto"/>
            <w:vAlign w:val="center"/>
          </w:tcPr>
          <w:p>
            <w:pPr>
              <w:widowControl/>
              <w:jc w:val="center"/>
              <w:rPr>
                <w:kern w:val="0"/>
                <w:sz w:val="18"/>
                <w:szCs w:val="18"/>
              </w:rPr>
            </w:pPr>
            <w:r>
              <w:rPr>
                <w:rFonts w:hint="eastAsia"/>
                <w:kern w:val="0"/>
                <w:sz w:val="18"/>
                <w:szCs w:val="18"/>
              </w:rPr>
              <w:t>170402010006</w:t>
            </w:r>
          </w:p>
        </w:tc>
        <w:tc>
          <w:tcPr>
            <w:tcW w:w="780" w:type="dxa"/>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余夏杨</w:t>
            </w:r>
          </w:p>
        </w:tc>
        <w:tc>
          <w:tcPr>
            <w:tcW w:w="942"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水力学及河流动力学</w:t>
            </w:r>
          </w:p>
        </w:tc>
        <w:tc>
          <w:tcPr>
            <w:tcW w:w="3375"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非规则水力因子影响下地下河口水动力过程研究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417" w:type="dxa"/>
            <w:shd w:val="clear" w:color="auto" w:fill="auto"/>
            <w:vAlign w:val="center"/>
          </w:tcPr>
          <w:p>
            <w:pPr>
              <w:widowControl/>
              <w:jc w:val="center"/>
              <w:rPr>
                <w:rFonts w:hint="eastAsia" w:eastAsia="宋体"/>
                <w:kern w:val="0"/>
                <w:sz w:val="18"/>
                <w:szCs w:val="18"/>
                <w:lang w:val="en-US" w:eastAsia="zh-CN"/>
              </w:rPr>
            </w:pPr>
            <w:r>
              <w:rPr>
                <w:rFonts w:hint="eastAsia"/>
                <w:kern w:val="0"/>
                <w:sz w:val="18"/>
                <w:szCs w:val="18"/>
                <w:lang w:val="en-US" w:eastAsia="zh-CN"/>
              </w:rPr>
              <w:t>4</w:t>
            </w:r>
          </w:p>
        </w:tc>
        <w:tc>
          <w:tcPr>
            <w:tcW w:w="1420" w:type="dxa"/>
            <w:shd w:val="clear" w:color="auto" w:fill="auto"/>
            <w:vAlign w:val="center"/>
          </w:tcPr>
          <w:p>
            <w:pPr>
              <w:widowControl/>
              <w:jc w:val="center"/>
              <w:rPr>
                <w:rFonts w:hint="eastAsia"/>
                <w:kern w:val="0"/>
                <w:sz w:val="18"/>
                <w:szCs w:val="18"/>
              </w:rPr>
            </w:pPr>
            <w:r>
              <w:rPr>
                <w:rFonts w:hint="eastAsia"/>
                <w:kern w:val="0"/>
                <w:sz w:val="18"/>
                <w:szCs w:val="18"/>
              </w:rPr>
              <w:t>'170402010005</w:t>
            </w:r>
          </w:p>
        </w:tc>
        <w:tc>
          <w:tcPr>
            <w:tcW w:w="780" w:type="dxa"/>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史文龙</w:t>
            </w:r>
          </w:p>
        </w:tc>
        <w:tc>
          <w:tcPr>
            <w:tcW w:w="942"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水力学及河流动力学</w:t>
            </w:r>
          </w:p>
        </w:tc>
        <w:tc>
          <w:tcPr>
            <w:tcW w:w="3375"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基于多因子耦合作用下海平面上升对海水入侵影响机制的研究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417" w:type="dxa"/>
            <w:shd w:val="clear" w:color="auto" w:fill="auto"/>
            <w:vAlign w:val="center"/>
          </w:tcPr>
          <w:p>
            <w:pPr>
              <w:widowControl/>
              <w:jc w:val="center"/>
              <w:rPr>
                <w:rFonts w:hint="eastAsia" w:eastAsia="宋体"/>
                <w:kern w:val="0"/>
                <w:sz w:val="18"/>
                <w:szCs w:val="18"/>
                <w:lang w:val="en-US" w:eastAsia="zh-CN"/>
              </w:rPr>
            </w:pPr>
            <w:r>
              <w:rPr>
                <w:rFonts w:hint="eastAsia"/>
                <w:kern w:val="0"/>
                <w:sz w:val="18"/>
                <w:szCs w:val="18"/>
                <w:lang w:val="en-US" w:eastAsia="zh-CN"/>
              </w:rPr>
              <w:t>5</w:t>
            </w:r>
          </w:p>
        </w:tc>
        <w:tc>
          <w:tcPr>
            <w:tcW w:w="1420" w:type="dxa"/>
            <w:shd w:val="clear" w:color="auto" w:fill="auto"/>
            <w:vAlign w:val="center"/>
          </w:tcPr>
          <w:p>
            <w:pPr>
              <w:widowControl/>
              <w:jc w:val="center"/>
              <w:rPr>
                <w:rFonts w:hint="eastAsia"/>
                <w:kern w:val="0"/>
                <w:sz w:val="18"/>
                <w:szCs w:val="18"/>
              </w:rPr>
            </w:pPr>
            <w:r>
              <w:rPr>
                <w:rFonts w:hint="eastAsia"/>
                <w:kern w:val="0"/>
                <w:sz w:val="18"/>
                <w:szCs w:val="18"/>
              </w:rPr>
              <w:t>150403020001</w:t>
            </w:r>
            <w:r>
              <w:rPr>
                <w:kern w:val="0"/>
                <w:sz w:val="18"/>
                <w:szCs w:val="18"/>
              </w:rPr>
              <w:t xml:space="preserve"> </w:t>
            </w:r>
          </w:p>
        </w:tc>
        <w:tc>
          <w:tcPr>
            <w:tcW w:w="780" w:type="dxa"/>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陈欣迪</w:t>
            </w:r>
          </w:p>
        </w:tc>
        <w:tc>
          <w:tcPr>
            <w:tcW w:w="942"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港口、海岸及近海工程</w:t>
            </w:r>
          </w:p>
        </w:tc>
        <w:tc>
          <w:tcPr>
            <w:tcW w:w="3375"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潮滩生物膜对泥沙稳定性效应的研究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17" w:type="dxa"/>
            <w:shd w:val="clear" w:color="auto" w:fill="auto"/>
            <w:vAlign w:val="center"/>
          </w:tcPr>
          <w:p>
            <w:pPr>
              <w:widowControl/>
              <w:jc w:val="center"/>
              <w:rPr>
                <w:rFonts w:hint="eastAsia" w:eastAsia="宋体"/>
                <w:kern w:val="0"/>
                <w:sz w:val="18"/>
                <w:szCs w:val="18"/>
                <w:lang w:val="en-US" w:eastAsia="zh-CN"/>
              </w:rPr>
            </w:pPr>
            <w:r>
              <w:rPr>
                <w:rFonts w:hint="eastAsia"/>
                <w:kern w:val="0"/>
                <w:sz w:val="18"/>
                <w:szCs w:val="18"/>
                <w:lang w:val="en-US" w:eastAsia="zh-CN"/>
              </w:rPr>
              <w:t>6</w:t>
            </w:r>
          </w:p>
        </w:tc>
        <w:tc>
          <w:tcPr>
            <w:tcW w:w="1420" w:type="dxa"/>
            <w:shd w:val="clear" w:color="auto" w:fill="auto"/>
            <w:vAlign w:val="center"/>
          </w:tcPr>
          <w:p>
            <w:pPr>
              <w:widowControl/>
              <w:jc w:val="center"/>
              <w:rPr>
                <w:rFonts w:hint="eastAsia"/>
                <w:kern w:val="0"/>
                <w:sz w:val="18"/>
                <w:szCs w:val="18"/>
              </w:rPr>
            </w:pPr>
            <w:r>
              <w:rPr>
                <w:rFonts w:hint="eastAsia"/>
                <w:kern w:val="0"/>
                <w:sz w:val="18"/>
                <w:szCs w:val="18"/>
              </w:rPr>
              <w:t>170403020006</w:t>
            </w:r>
          </w:p>
        </w:tc>
        <w:tc>
          <w:tcPr>
            <w:tcW w:w="780" w:type="dxa"/>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罗照阳</w:t>
            </w:r>
          </w:p>
        </w:tc>
        <w:tc>
          <w:tcPr>
            <w:tcW w:w="942" w:type="dxa"/>
            <w:shd w:val="clear" w:color="auto" w:fill="auto"/>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港口、海岸及近海工程</w:t>
            </w:r>
          </w:p>
        </w:tc>
        <w:tc>
          <w:tcPr>
            <w:tcW w:w="3375" w:type="dxa"/>
            <w:shd w:val="clear" w:color="auto" w:fill="auto"/>
            <w:vAlign w:val="center"/>
          </w:tcPr>
          <w:p>
            <w:pPr>
              <w:widowControl/>
              <w:jc w:val="center"/>
              <w:rPr>
                <w:rFonts w:hint="eastAsia"/>
              </w:rPr>
            </w:pPr>
            <w:r>
              <w:rPr>
                <w:rFonts w:hint="eastAsia" w:ascii="宋体" w:hAnsi="宋体" w:cs="宋体"/>
                <w:kern w:val="0"/>
                <w:sz w:val="18"/>
                <w:szCs w:val="18"/>
              </w:rPr>
              <w:t>滨海地下水波动及其对氮素运移转化的影响机制研究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vAlign w:val="center"/>
          </w:tcPr>
          <w:p>
            <w:pPr>
              <w:widowControl/>
              <w:jc w:val="center"/>
              <w:rPr>
                <w:rFonts w:hint="eastAsia" w:eastAsia="宋体"/>
                <w:kern w:val="0"/>
                <w:sz w:val="18"/>
                <w:szCs w:val="18"/>
                <w:lang w:val="en-US" w:eastAsia="zh-CN"/>
              </w:rPr>
            </w:pPr>
            <w:r>
              <w:rPr>
                <w:rFonts w:hint="eastAsia"/>
                <w:kern w:val="0"/>
                <w:sz w:val="18"/>
                <w:szCs w:val="18"/>
                <w:lang w:val="en-US" w:eastAsia="zh-CN"/>
              </w:rPr>
              <w:t>7</w:t>
            </w:r>
          </w:p>
        </w:tc>
        <w:tc>
          <w:tcPr>
            <w:tcW w:w="1420" w:type="dxa"/>
            <w:vAlign w:val="center"/>
          </w:tcPr>
          <w:p>
            <w:pPr>
              <w:widowControl/>
              <w:jc w:val="center"/>
              <w:rPr>
                <w:kern w:val="0"/>
                <w:sz w:val="18"/>
                <w:szCs w:val="18"/>
              </w:rPr>
            </w:pPr>
            <w:r>
              <w:rPr>
                <w:rFonts w:hint="eastAsia"/>
                <w:kern w:val="0"/>
                <w:sz w:val="18"/>
                <w:szCs w:val="18"/>
              </w:rPr>
              <w:t>160405020003</w:t>
            </w:r>
          </w:p>
        </w:tc>
        <w:tc>
          <w:tcPr>
            <w:tcW w:w="780" w:type="dxa"/>
            <w:vAlign w:val="center"/>
          </w:tcPr>
          <w:p>
            <w:pPr>
              <w:widowControl/>
              <w:jc w:val="center"/>
              <w:rPr>
                <w:rFonts w:ascii="宋体" w:hAnsi="宋体" w:cs="宋体"/>
                <w:kern w:val="0"/>
                <w:sz w:val="18"/>
                <w:szCs w:val="18"/>
              </w:rPr>
            </w:pPr>
            <w:r>
              <w:rPr>
                <w:rFonts w:hint="eastAsia" w:ascii="宋体" w:hAnsi="宋体" w:cs="宋体"/>
                <w:color w:val="000000"/>
                <w:kern w:val="0"/>
                <w:sz w:val="18"/>
                <w:szCs w:val="18"/>
              </w:rPr>
              <w:t>许</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伊</w:t>
            </w:r>
          </w:p>
        </w:tc>
        <w:tc>
          <w:tcPr>
            <w:tcW w:w="942" w:type="dxa"/>
            <w:vAlign w:val="center"/>
          </w:tcPr>
          <w:p>
            <w:pPr>
              <w:widowControl/>
              <w:jc w:val="center"/>
              <w:rPr>
                <w:rFonts w:ascii="宋体" w:hAnsi="宋体" w:cs="宋体"/>
                <w:kern w:val="0"/>
                <w:sz w:val="18"/>
                <w:szCs w:val="18"/>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vAlign w:val="center"/>
          </w:tcPr>
          <w:p>
            <w:pPr>
              <w:widowControl/>
              <w:jc w:val="center"/>
              <w:rPr>
                <w:rFonts w:ascii="宋体" w:hAnsi="宋体" w:cs="宋体"/>
                <w:kern w:val="0"/>
                <w:sz w:val="18"/>
                <w:szCs w:val="18"/>
              </w:rPr>
            </w:pPr>
            <w:r>
              <w:rPr>
                <w:rFonts w:hint="eastAsia" w:ascii="宋体" w:hAnsi="宋体" w:cs="宋体"/>
                <w:kern w:val="0"/>
                <w:sz w:val="18"/>
                <w:szCs w:val="18"/>
              </w:rPr>
              <w:t>环境科学与工程</w:t>
            </w:r>
          </w:p>
        </w:tc>
        <w:tc>
          <w:tcPr>
            <w:tcW w:w="3375" w:type="dxa"/>
            <w:vAlign w:val="center"/>
          </w:tcPr>
          <w:p>
            <w:pPr>
              <w:widowControl/>
              <w:jc w:val="center"/>
              <w:rPr>
                <w:rFonts w:ascii="宋体" w:hAnsi="宋体" w:cs="宋体"/>
                <w:kern w:val="0"/>
                <w:sz w:val="18"/>
                <w:szCs w:val="18"/>
              </w:rPr>
            </w:pPr>
            <w:r>
              <w:rPr>
                <w:rFonts w:hint="eastAsia" w:ascii="宋体" w:hAnsi="宋体" w:cs="宋体"/>
                <w:kern w:val="0"/>
                <w:sz w:val="18"/>
                <w:szCs w:val="18"/>
              </w:rPr>
              <w:t>纳米二氧化铈对污水生物膜净污活性及微生物群落结构的影响及机理研究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420" w:type="dxa"/>
            <w:shd w:val="clear" w:color="auto" w:fill="auto"/>
            <w:vAlign w:val="center"/>
          </w:tcPr>
          <w:p>
            <w:pPr>
              <w:widowControl/>
              <w:jc w:val="center"/>
              <w:rPr>
                <w:rFonts w:hint="eastAsia" w:ascii="宋体" w:hAnsi="宋体" w:cs="宋体"/>
                <w:kern w:val="0"/>
                <w:sz w:val="18"/>
                <w:szCs w:val="18"/>
              </w:rPr>
            </w:pPr>
            <w:r>
              <w:rPr>
                <w:rFonts w:hint="eastAsia"/>
                <w:kern w:val="0"/>
                <w:sz w:val="18"/>
                <w:szCs w:val="18"/>
              </w:rPr>
              <w:t>170205020002</w:t>
            </w:r>
          </w:p>
        </w:tc>
        <w:tc>
          <w:tcPr>
            <w:tcW w:w="780" w:type="dxa"/>
            <w:shd w:val="clear" w:color="auto" w:fill="auto"/>
            <w:vAlign w:val="center"/>
          </w:tcPr>
          <w:p>
            <w:pPr>
              <w:widowControl/>
              <w:jc w:val="center"/>
              <w:rPr>
                <w:rFonts w:hint="eastAsia" w:ascii="宋体" w:hAnsi="宋体" w:cs="宋体"/>
                <w:kern w:val="0"/>
                <w:sz w:val="18"/>
                <w:szCs w:val="18"/>
              </w:rPr>
            </w:pPr>
            <w:r>
              <w:rPr>
                <w:rFonts w:hint="eastAsia"/>
                <w:kern w:val="0"/>
                <w:sz w:val="18"/>
                <w:szCs w:val="18"/>
              </w:rPr>
              <w:t>刘</w:t>
            </w:r>
            <w:r>
              <w:rPr>
                <w:rFonts w:hint="eastAsia"/>
                <w:kern w:val="0"/>
                <w:sz w:val="18"/>
                <w:szCs w:val="18"/>
                <w:lang w:val="en-US" w:eastAsia="zh-CN"/>
              </w:rPr>
              <w:t xml:space="preserve"> </w:t>
            </w:r>
            <w:r>
              <w:rPr>
                <w:rFonts w:hint="eastAsia"/>
                <w:kern w:val="0"/>
                <w:sz w:val="18"/>
                <w:szCs w:val="18"/>
              </w:rPr>
              <w:t>畅</w:t>
            </w:r>
          </w:p>
        </w:tc>
        <w:tc>
          <w:tcPr>
            <w:tcW w:w="942"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普</w:t>
            </w:r>
            <w:r>
              <w:rPr>
                <w:rFonts w:hint="eastAsia" w:ascii="宋体" w:hAnsi="宋体" w:cs="宋体"/>
                <w:kern w:val="0"/>
                <w:sz w:val="18"/>
                <w:szCs w:val="18"/>
                <w:lang w:val="en-US" w:eastAsia="zh-CN"/>
              </w:rPr>
              <w:t xml:space="preserve"> </w:t>
            </w:r>
            <w:r>
              <w:rPr>
                <w:rFonts w:hint="eastAsia" w:ascii="宋体" w:hAnsi="宋体" w:cs="宋体"/>
                <w:kern w:val="0"/>
                <w:sz w:val="18"/>
                <w:szCs w:val="18"/>
              </w:rPr>
              <w:t>博</w:t>
            </w:r>
          </w:p>
        </w:tc>
        <w:tc>
          <w:tcPr>
            <w:tcW w:w="1599"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环境科学与工程</w:t>
            </w:r>
          </w:p>
        </w:tc>
        <w:tc>
          <w:tcPr>
            <w:tcW w:w="3375"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膜蒸馏工艺运行过程中的膜生物污染现象研究及机理探讨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vMerge w:val="restart"/>
            <w:shd w:val="clear" w:color="auto" w:fill="auto"/>
            <w:vAlign w:val="center"/>
          </w:tcPr>
          <w:p>
            <w:pPr>
              <w:widowControl/>
              <w:jc w:val="center"/>
              <w:rPr>
                <w:rFonts w:hint="eastAsia"/>
                <w:kern w:val="0"/>
                <w:sz w:val="18"/>
                <w:szCs w:val="18"/>
                <w:lang w:val="en-US" w:eastAsia="zh-CN"/>
              </w:rPr>
            </w:pPr>
            <w:r>
              <w:rPr>
                <w:rFonts w:hint="eastAsia"/>
                <w:kern w:val="0"/>
                <w:sz w:val="18"/>
                <w:szCs w:val="18"/>
                <w:lang w:val="en-US" w:eastAsia="zh-CN"/>
              </w:rPr>
              <w:t>9</w:t>
            </w:r>
          </w:p>
        </w:tc>
        <w:tc>
          <w:tcPr>
            <w:tcW w:w="1420" w:type="dxa"/>
            <w:vMerge w:val="restart"/>
            <w:shd w:val="clear" w:color="auto" w:fill="auto"/>
            <w:vAlign w:val="center"/>
          </w:tcPr>
          <w:p>
            <w:pPr>
              <w:widowControl/>
              <w:jc w:val="center"/>
              <w:rPr>
                <w:rFonts w:hint="eastAsia"/>
                <w:kern w:val="0"/>
                <w:sz w:val="18"/>
                <w:szCs w:val="18"/>
              </w:rPr>
            </w:pPr>
            <w:r>
              <w:rPr>
                <w:rFonts w:hint="eastAsia"/>
                <w:kern w:val="0"/>
                <w:sz w:val="18"/>
                <w:szCs w:val="18"/>
              </w:rPr>
              <w:t>160410030002</w:t>
            </w:r>
          </w:p>
        </w:tc>
        <w:tc>
          <w:tcPr>
            <w:tcW w:w="780" w:type="dxa"/>
            <w:vMerge w:val="restart"/>
            <w:shd w:val="clear" w:color="auto" w:fill="auto"/>
            <w:vAlign w:val="center"/>
          </w:tcPr>
          <w:p>
            <w:pPr>
              <w:widowControl/>
              <w:jc w:val="center"/>
              <w:rPr>
                <w:rFonts w:hint="eastAsia"/>
                <w:kern w:val="0"/>
                <w:sz w:val="18"/>
                <w:szCs w:val="18"/>
              </w:rPr>
            </w:pPr>
            <w:r>
              <w:rPr>
                <w:rFonts w:hint="eastAsia"/>
                <w:kern w:val="0"/>
                <w:sz w:val="18"/>
                <w:szCs w:val="18"/>
              </w:rPr>
              <w:t>杨</w:t>
            </w:r>
            <w:r>
              <w:rPr>
                <w:rFonts w:hint="eastAsia"/>
                <w:kern w:val="0"/>
                <w:sz w:val="18"/>
                <w:szCs w:val="18"/>
                <w:lang w:val="en-US" w:eastAsia="zh-CN"/>
              </w:rPr>
              <w:t xml:space="preserve"> </w:t>
            </w:r>
            <w:r>
              <w:rPr>
                <w:rFonts w:hint="eastAsia"/>
                <w:kern w:val="0"/>
                <w:sz w:val="18"/>
                <w:szCs w:val="18"/>
              </w:rPr>
              <w:t>旭</w:t>
            </w:r>
          </w:p>
        </w:tc>
        <w:tc>
          <w:tcPr>
            <w:tcW w:w="942" w:type="dxa"/>
            <w:vMerge w:val="restart"/>
            <w:shd w:val="clear" w:color="auto" w:fill="auto"/>
            <w:vAlign w:val="center"/>
          </w:tcPr>
          <w:p>
            <w:pPr>
              <w:widowControl/>
              <w:jc w:val="center"/>
              <w:rPr>
                <w:rFonts w:hint="eastAsia"/>
                <w:kern w:val="0"/>
                <w:sz w:val="18"/>
                <w:szCs w:val="18"/>
              </w:rPr>
            </w:pPr>
            <w:r>
              <w:rPr>
                <w:rFonts w:hint="eastAsia"/>
                <w:kern w:val="0"/>
                <w:sz w:val="18"/>
                <w:szCs w:val="18"/>
                <w:lang w:eastAsia="zh-CN"/>
              </w:rPr>
              <w:t>硕</w:t>
            </w:r>
            <w:r>
              <w:rPr>
                <w:rFonts w:hint="eastAsia"/>
                <w:kern w:val="0"/>
                <w:sz w:val="18"/>
                <w:szCs w:val="18"/>
                <w:lang w:val="en-US" w:eastAsia="zh-CN"/>
              </w:rPr>
              <w:t xml:space="preserve"> </w:t>
            </w:r>
            <w:r>
              <w:rPr>
                <w:rFonts w:hint="eastAsia"/>
                <w:kern w:val="0"/>
                <w:sz w:val="18"/>
                <w:szCs w:val="18"/>
                <w:lang w:eastAsia="zh-CN"/>
              </w:rPr>
              <w:t>博</w:t>
            </w:r>
          </w:p>
        </w:tc>
        <w:tc>
          <w:tcPr>
            <w:tcW w:w="1599" w:type="dxa"/>
            <w:vMerge w:val="restart"/>
            <w:shd w:val="clear" w:color="auto" w:fill="auto"/>
            <w:vAlign w:val="center"/>
          </w:tcPr>
          <w:p>
            <w:pPr>
              <w:widowControl/>
              <w:jc w:val="center"/>
              <w:rPr>
                <w:rFonts w:hint="eastAsia"/>
                <w:kern w:val="0"/>
                <w:sz w:val="18"/>
                <w:szCs w:val="18"/>
              </w:rPr>
            </w:pPr>
            <w:r>
              <w:rPr>
                <w:rFonts w:hint="eastAsia"/>
                <w:kern w:val="0"/>
                <w:sz w:val="18"/>
                <w:szCs w:val="18"/>
              </w:rPr>
              <w:t>流体力学</w:t>
            </w:r>
          </w:p>
        </w:tc>
        <w:tc>
          <w:tcPr>
            <w:tcW w:w="3375" w:type="dxa"/>
            <w:vMerge w:val="restart"/>
            <w:shd w:val="clear" w:color="auto" w:fill="auto"/>
            <w:vAlign w:val="center"/>
          </w:tcPr>
          <w:p>
            <w:pPr>
              <w:widowControl/>
              <w:jc w:val="center"/>
              <w:rPr>
                <w:rFonts w:hint="eastAsia"/>
                <w:kern w:val="0"/>
                <w:sz w:val="18"/>
                <w:szCs w:val="18"/>
              </w:rPr>
            </w:pPr>
            <w:r>
              <w:rPr>
                <w:rFonts w:hint="eastAsia"/>
                <w:kern w:val="0"/>
                <w:sz w:val="18"/>
                <w:szCs w:val="18"/>
              </w:rPr>
              <w:t>复杂流体反常输运问题的分数阶导数建模及应用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vMerge w:val="continue"/>
            <w:vAlign w:val="center"/>
          </w:tcPr>
          <w:p>
            <w:pPr>
              <w:widowControl/>
              <w:jc w:val="center"/>
              <w:rPr>
                <w:rFonts w:ascii="宋体" w:hAnsi="宋体" w:cs="宋体"/>
                <w:kern w:val="0"/>
                <w:sz w:val="18"/>
                <w:szCs w:val="18"/>
              </w:rPr>
            </w:pPr>
          </w:p>
        </w:tc>
        <w:tc>
          <w:tcPr>
            <w:tcW w:w="1420" w:type="dxa"/>
            <w:vMerge w:val="continue"/>
            <w:vAlign w:val="center"/>
          </w:tcPr>
          <w:p>
            <w:pPr>
              <w:widowControl/>
              <w:jc w:val="left"/>
              <w:rPr>
                <w:kern w:val="0"/>
                <w:sz w:val="18"/>
                <w:szCs w:val="18"/>
              </w:rPr>
            </w:pPr>
          </w:p>
        </w:tc>
        <w:tc>
          <w:tcPr>
            <w:tcW w:w="780" w:type="dxa"/>
            <w:vMerge w:val="continue"/>
            <w:vAlign w:val="center"/>
          </w:tcPr>
          <w:p>
            <w:pPr>
              <w:widowControl/>
              <w:jc w:val="left"/>
              <w:rPr>
                <w:rFonts w:ascii="宋体" w:hAnsi="宋体" w:cs="宋体"/>
                <w:kern w:val="0"/>
                <w:sz w:val="18"/>
                <w:szCs w:val="18"/>
              </w:rPr>
            </w:pPr>
          </w:p>
        </w:tc>
        <w:tc>
          <w:tcPr>
            <w:tcW w:w="942" w:type="dxa"/>
            <w:vMerge w:val="continue"/>
            <w:vAlign w:val="center"/>
          </w:tcPr>
          <w:p>
            <w:pPr>
              <w:widowControl/>
              <w:jc w:val="center"/>
              <w:rPr>
                <w:rFonts w:hint="eastAsia" w:ascii="宋体" w:hAnsi="宋体" w:cs="宋体"/>
                <w:kern w:val="0"/>
                <w:sz w:val="18"/>
                <w:szCs w:val="18"/>
              </w:rPr>
            </w:pPr>
          </w:p>
        </w:tc>
        <w:tc>
          <w:tcPr>
            <w:tcW w:w="1599" w:type="dxa"/>
            <w:vMerge w:val="continue"/>
            <w:vAlign w:val="center"/>
          </w:tcPr>
          <w:p>
            <w:pPr>
              <w:widowControl/>
              <w:jc w:val="left"/>
              <w:rPr>
                <w:rFonts w:ascii="宋体" w:hAnsi="宋体" w:cs="宋体"/>
                <w:kern w:val="0"/>
                <w:sz w:val="18"/>
                <w:szCs w:val="18"/>
              </w:rPr>
            </w:pPr>
          </w:p>
        </w:tc>
        <w:tc>
          <w:tcPr>
            <w:tcW w:w="3375" w:type="dxa"/>
            <w:vMerge w:val="continue"/>
            <w:vAlign w:val="center"/>
          </w:tcPr>
          <w:p>
            <w:pPr>
              <w:widowControl/>
              <w:jc w:val="center"/>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20" w:type="dxa"/>
            <w:vAlign w:val="center"/>
          </w:tcPr>
          <w:p>
            <w:pPr>
              <w:widowControl/>
              <w:jc w:val="left"/>
              <w:rPr>
                <w:kern w:val="0"/>
                <w:sz w:val="18"/>
                <w:szCs w:val="18"/>
              </w:rPr>
            </w:pPr>
            <w:r>
              <w:rPr>
                <w:rFonts w:hint="eastAsia"/>
                <w:kern w:val="0"/>
                <w:sz w:val="18"/>
                <w:szCs w:val="18"/>
              </w:rPr>
              <w:t>160410070002</w:t>
            </w:r>
          </w:p>
        </w:tc>
        <w:tc>
          <w:tcPr>
            <w:tcW w:w="780" w:type="dxa"/>
            <w:vAlign w:val="center"/>
          </w:tcPr>
          <w:p>
            <w:pPr>
              <w:widowControl/>
              <w:jc w:val="center"/>
              <w:rPr>
                <w:rFonts w:hint="eastAsia"/>
                <w:kern w:val="0"/>
                <w:sz w:val="18"/>
                <w:szCs w:val="18"/>
              </w:rPr>
            </w:pPr>
            <w:r>
              <w:rPr>
                <w:rFonts w:hint="eastAsia"/>
                <w:kern w:val="0"/>
                <w:sz w:val="18"/>
                <w:szCs w:val="18"/>
              </w:rPr>
              <w:t>张</w:t>
            </w:r>
            <w:r>
              <w:rPr>
                <w:rFonts w:hint="eastAsia"/>
                <w:kern w:val="0"/>
                <w:sz w:val="18"/>
                <w:szCs w:val="18"/>
                <w:lang w:val="en-US" w:eastAsia="zh-CN"/>
              </w:rPr>
              <w:t xml:space="preserve"> </w:t>
            </w:r>
            <w:r>
              <w:rPr>
                <w:rFonts w:hint="eastAsia"/>
                <w:kern w:val="0"/>
                <w:sz w:val="18"/>
                <w:szCs w:val="18"/>
              </w:rPr>
              <w:t>欣</w:t>
            </w:r>
          </w:p>
        </w:tc>
        <w:tc>
          <w:tcPr>
            <w:tcW w:w="942"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vAlign w:val="center"/>
          </w:tcPr>
          <w:p>
            <w:pPr>
              <w:widowControl/>
              <w:ind w:firstLine="180" w:firstLineChars="100"/>
              <w:jc w:val="left"/>
              <w:rPr>
                <w:rFonts w:ascii="宋体" w:hAnsi="宋体" w:cs="宋体"/>
                <w:kern w:val="0"/>
                <w:sz w:val="18"/>
                <w:szCs w:val="18"/>
              </w:rPr>
            </w:pPr>
            <w:r>
              <w:rPr>
                <w:rFonts w:hint="eastAsia"/>
                <w:kern w:val="0"/>
                <w:sz w:val="18"/>
                <w:szCs w:val="18"/>
              </w:rPr>
              <w:t>土木工程材料</w:t>
            </w:r>
          </w:p>
        </w:tc>
        <w:tc>
          <w:tcPr>
            <w:tcW w:w="3375"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二维纳米复合支撑体负载贵金属粒子的制备及直接甲醇燃料电池催化性能研究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1420" w:type="dxa"/>
            <w:vAlign w:val="center"/>
          </w:tcPr>
          <w:p>
            <w:pPr>
              <w:widowControl/>
              <w:jc w:val="left"/>
              <w:rPr>
                <w:kern w:val="0"/>
                <w:sz w:val="18"/>
                <w:szCs w:val="18"/>
              </w:rPr>
            </w:pPr>
            <w:r>
              <w:rPr>
                <w:rFonts w:hint="eastAsia"/>
                <w:kern w:val="0"/>
                <w:sz w:val="18"/>
                <w:szCs w:val="18"/>
              </w:rPr>
              <w:t>170410010003</w:t>
            </w:r>
          </w:p>
        </w:tc>
        <w:tc>
          <w:tcPr>
            <w:tcW w:w="780" w:type="dxa"/>
            <w:vAlign w:val="center"/>
          </w:tcPr>
          <w:p>
            <w:pPr>
              <w:widowControl/>
              <w:jc w:val="left"/>
              <w:rPr>
                <w:rFonts w:ascii="宋体" w:hAnsi="宋体" w:cs="宋体"/>
                <w:kern w:val="0"/>
                <w:sz w:val="18"/>
                <w:szCs w:val="18"/>
              </w:rPr>
            </w:pPr>
            <w:r>
              <w:rPr>
                <w:rFonts w:hint="eastAsia" w:ascii="宋体" w:hAnsi="宋体" w:cs="宋体"/>
                <w:kern w:val="0"/>
                <w:sz w:val="18"/>
                <w:szCs w:val="18"/>
              </w:rPr>
              <w:t>冷恒凌</w:t>
            </w:r>
          </w:p>
        </w:tc>
        <w:tc>
          <w:tcPr>
            <w:tcW w:w="942"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vAlign w:val="center"/>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物理海洋学</w:t>
            </w:r>
          </w:p>
        </w:tc>
        <w:tc>
          <w:tcPr>
            <w:tcW w:w="3375"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楚科奇边缘陆坡动力过程与陆架-海盆水交换研究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17" w:type="dxa"/>
            <w:shd w:val="clear" w:color="auto" w:fill="auto"/>
            <w:vAlign w:val="center"/>
          </w:tcPr>
          <w:p>
            <w:pPr>
              <w:widowControl/>
              <w:jc w:val="center"/>
              <w:rPr>
                <w:rFonts w:hint="eastAsia" w:eastAsia="宋体"/>
                <w:kern w:val="0"/>
                <w:sz w:val="18"/>
                <w:szCs w:val="18"/>
                <w:lang w:val="en-US" w:eastAsia="zh-CN"/>
              </w:rPr>
            </w:pPr>
            <w:r>
              <w:rPr>
                <w:rFonts w:hint="eastAsia"/>
                <w:kern w:val="0"/>
                <w:sz w:val="18"/>
                <w:szCs w:val="18"/>
                <w:lang w:val="en-US" w:eastAsia="zh-CN"/>
              </w:rPr>
              <w:t>12</w:t>
            </w:r>
          </w:p>
        </w:tc>
        <w:tc>
          <w:tcPr>
            <w:tcW w:w="1420" w:type="dxa"/>
            <w:shd w:val="clear" w:color="auto" w:fill="auto"/>
            <w:vAlign w:val="center"/>
          </w:tcPr>
          <w:p>
            <w:pPr>
              <w:widowControl/>
              <w:jc w:val="center"/>
              <w:rPr>
                <w:kern w:val="0"/>
                <w:sz w:val="18"/>
                <w:szCs w:val="18"/>
              </w:rPr>
            </w:pPr>
            <w:r>
              <w:rPr>
                <w:rFonts w:hint="eastAsia"/>
                <w:kern w:val="0"/>
                <w:sz w:val="18"/>
                <w:szCs w:val="18"/>
              </w:rPr>
              <w:t>160402060001</w:t>
            </w:r>
          </w:p>
        </w:tc>
        <w:tc>
          <w:tcPr>
            <w:tcW w:w="780" w:type="dxa"/>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费远航</w:t>
            </w:r>
          </w:p>
        </w:tc>
        <w:tc>
          <w:tcPr>
            <w:tcW w:w="942"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农业水土工程</w:t>
            </w:r>
          </w:p>
        </w:tc>
        <w:tc>
          <w:tcPr>
            <w:tcW w:w="3375" w:type="dxa"/>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海涂围垦区土壤结构变化影响下钠盐运移水动力学过程研究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17" w:type="dxa"/>
            <w:vAlign w:val="center"/>
          </w:tcPr>
          <w:p>
            <w:pPr>
              <w:widowControl/>
              <w:jc w:val="center"/>
              <w:rPr>
                <w:rFonts w:hint="eastAsia" w:eastAsia="宋体"/>
                <w:kern w:val="0"/>
                <w:sz w:val="18"/>
                <w:szCs w:val="18"/>
                <w:lang w:val="en-US" w:eastAsia="zh-CN"/>
              </w:rPr>
            </w:pPr>
            <w:r>
              <w:rPr>
                <w:rFonts w:hint="eastAsia"/>
                <w:kern w:val="0"/>
                <w:sz w:val="18"/>
                <w:szCs w:val="18"/>
                <w:lang w:val="en-US" w:eastAsia="zh-CN"/>
              </w:rPr>
              <w:t>13</w:t>
            </w:r>
          </w:p>
        </w:tc>
        <w:tc>
          <w:tcPr>
            <w:tcW w:w="1420" w:type="dxa"/>
            <w:vAlign w:val="center"/>
          </w:tcPr>
          <w:p>
            <w:pPr>
              <w:widowControl/>
              <w:jc w:val="left"/>
              <w:rPr>
                <w:kern w:val="0"/>
                <w:sz w:val="18"/>
                <w:szCs w:val="18"/>
              </w:rPr>
            </w:pPr>
            <w:r>
              <w:rPr>
                <w:rFonts w:hint="eastAsia"/>
                <w:kern w:val="0"/>
                <w:sz w:val="18"/>
                <w:szCs w:val="18"/>
              </w:rPr>
              <w:t>170402060003</w:t>
            </w:r>
          </w:p>
        </w:tc>
        <w:tc>
          <w:tcPr>
            <w:tcW w:w="780" w:type="dxa"/>
            <w:vAlign w:val="center"/>
          </w:tcPr>
          <w:p>
            <w:pPr>
              <w:widowControl/>
              <w:jc w:val="left"/>
              <w:rPr>
                <w:rFonts w:ascii="宋体" w:hAnsi="宋体" w:cs="宋体"/>
                <w:kern w:val="0"/>
                <w:sz w:val="18"/>
                <w:szCs w:val="18"/>
              </w:rPr>
            </w:pPr>
            <w:r>
              <w:rPr>
                <w:rFonts w:hint="eastAsia" w:ascii="宋体" w:hAnsi="宋体" w:cs="宋体"/>
                <w:kern w:val="0"/>
                <w:sz w:val="18"/>
                <w:szCs w:val="18"/>
              </w:rPr>
              <w:t>吴梦洋</w:t>
            </w:r>
          </w:p>
        </w:tc>
        <w:tc>
          <w:tcPr>
            <w:tcW w:w="942"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vAlign w:val="center"/>
          </w:tcPr>
          <w:p>
            <w:pPr>
              <w:widowControl/>
              <w:jc w:val="center"/>
              <w:rPr>
                <w:rFonts w:ascii="宋体" w:hAnsi="宋体" w:cs="宋体"/>
                <w:kern w:val="0"/>
                <w:sz w:val="18"/>
                <w:szCs w:val="18"/>
              </w:rPr>
            </w:pPr>
            <w:r>
              <w:rPr>
                <w:rFonts w:hint="eastAsia" w:ascii="宋体" w:hAnsi="宋体" w:cs="宋体"/>
                <w:kern w:val="0"/>
                <w:sz w:val="18"/>
                <w:szCs w:val="18"/>
              </w:rPr>
              <w:t>农业水土工程</w:t>
            </w:r>
          </w:p>
        </w:tc>
        <w:tc>
          <w:tcPr>
            <w:tcW w:w="3375"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水稻水足迹及其尺度效应研究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417" w:type="dxa"/>
            <w:vAlign w:val="center"/>
          </w:tcPr>
          <w:p>
            <w:pPr>
              <w:widowControl/>
              <w:jc w:val="center"/>
              <w:rPr>
                <w:rFonts w:hint="eastAsia"/>
                <w:kern w:val="0"/>
                <w:sz w:val="18"/>
                <w:szCs w:val="18"/>
                <w:lang w:val="en-US" w:eastAsia="zh-CN"/>
              </w:rPr>
            </w:pPr>
            <w:r>
              <w:rPr>
                <w:rFonts w:hint="eastAsia"/>
                <w:kern w:val="0"/>
                <w:sz w:val="18"/>
                <w:szCs w:val="18"/>
                <w:lang w:val="en-US" w:eastAsia="zh-CN"/>
              </w:rPr>
              <w:t>14</w:t>
            </w:r>
          </w:p>
        </w:tc>
        <w:tc>
          <w:tcPr>
            <w:tcW w:w="1420" w:type="dxa"/>
            <w:vAlign w:val="center"/>
          </w:tcPr>
          <w:p>
            <w:pPr>
              <w:widowControl/>
              <w:jc w:val="center"/>
              <w:rPr>
                <w:kern w:val="0"/>
                <w:sz w:val="18"/>
                <w:szCs w:val="18"/>
              </w:rPr>
            </w:pPr>
            <w:r>
              <w:rPr>
                <w:rFonts w:hint="eastAsia"/>
                <w:kern w:val="0"/>
                <w:sz w:val="18"/>
                <w:szCs w:val="18"/>
              </w:rPr>
              <w:t>160413070001</w:t>
            </w:r>
          </w:p>
        </w:tc>
        <w:tc>
          <w:tcPr>
            <w:tcW w:w="780" w:type="dxa"/>
            <w:vAlign w:val="center"/>
          </w:tcPr>
          <w:p>
            <w:pPr>
              <w:widowControl/>
              <w:jc w:val="center"/>
              <w:rPr>
                <w:kern w:val="0"/>
                <w:sz w:val="18"/>
                <w:szCs w:val="18"/>
              </w:rPr>
            </w:pPr>
            <w:r>
              <w:rPr>
                <w:rFonts w:hint="eastAsia"/>
                <w:kern w:val="0"/>
                <w:sz w:val="18"/>
                <w:szCs w:val="18"/>
              </w:rPr>
              <w:t>刘</w:t>
            </w:r>
            <w:r>
              <w:rPr>
                <w:rFonts w:hint="eastAsia"/>
                <w:kern w:val="0"/>
                <w:sz w:val="18"/>
                <w:szCs w:val="18"/>
                <w:lang w:val="en-US" w:eastAsia="zh-CN"/>
              </w:rPr>
              <w:t xml:space="preserve"> </w:t>
            </w:r>
            <w:r>
              <w:rPr>
                <w:rFonts w:hint="eastAsia"/>
                <w:kern w:val="0"/>
                <w:sz w:val="18"/>
                <w:szCs w:val="18"/>
              </w:rPr>
              <w:t>霞</w:t>
            </w:r>
          </w:p>
        </w:tc>
        <w:tc>
          <w:tcPr>
            <w:tcW w:w="942"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eastAsia="zh-CN"/>
              </w:rPr>
              <w:t>硕</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博</w:t>
            </w:r>
          </w:p>
        </w:tc>
        <w:tc>
          <w:tcPr>
            <w:tcW w:w="1599" w:type="dxa"/>
            <w:vAlign w:val="center"/>
          </w:tcPr>
          <w:p>
            <w:pPr>
              <w:widowControl/>
              <w:jc w:val="center"/>
              <w:rPr>
                <w:kern w:val="0"/>
                <w:sz w:val="18"/>
                <w:szCs w:val="18"/>
              </w:rPr>
            </w:pPr>
            <w:r>
              <w:rPr>
                <w:rFonts w:hint="eastAsia"/>
                <w:kern w:val="0"/>
                <w:sz w:val="18"/>
                <w:szCs w:val="18"/>
              </w:rPr>
              <w:t>管理科学与工程</w:t>
            </w:r>
          </w:p>
        </w:tc>
        <w:tc>
          <w:tcPr>
            <w:tcW w:w="3375"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基于犹豫模糊和自信偏好信息的大群体决策理论方法及应用研究</w:t>
            </w:r>
          </w:p>
        </w:tc>
      </w:tr>
    </w:tbl>
    <w:p>
      <w:pPr>
        <w:ind w:left="5880" w:hanging="5880" w:hangingChars="210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4A"/>
    <w:rsid w:val="000964CE"/>
    <w:rsid w:val="000A68ED"/>
    <w:rsid w:val="000E262B"/>
    <w:rsid w:val="001C4F86"/>
    <w:rsid w:val="002903A7"/>
    <w:rsid w:val="003F40B4"/>
    <w:rsid w:val="004B2D4A"/>
    <w:rsid w:val="005B7512"/>
    <w:rsid w:val="00732174"/>
    <w:rsid w:val="00C97C13"/>
    <w:rsid w:val="00CA4E85"/>
    <w:rsid w:val="00F83D94"/>
    <w:rsid w:val="1D950BBD"/>
    <w:rsid w:val="2C371F69"/>
    <w:rsid w:val="2E5A5A19"/>
    <w:rsid w:val="415A0CD1"/>
    <w:rsid w:val="4BE8710B"/>
    <w:rsid w:val="585C5A3D"/>
    <w:rsid w:val="647F6826"/>
    <w:rsid w:val="6A423153"/>
    <w:rsid w:val="7B9B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日期 Char"/>
    <w:basedOn w:val="5"/>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161</Words>
  <Characters>921</Characters>
  <Lines>7</Lines>
  <Paragraphs>2</Paragraphs>
  <TotalTime>7</TotalTime>
  <ScaleCrop>false</ScaleCrop>
  <LinksUpToDate>false</LinksUpToDate>
  <CharactersWithSpaces>1080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2016-11-24T01:49:00Z</dcterms:created>
  <dc:creator>陆露茜</dc:creator>
  <cp:lastModifiedBy>lenovo</cp:lastModifiedBy>
  <cp:lastPrinted>2017-12-25T07:18:00Z</cp:lastPrinted>
  <dcterms:modified xsi:type="dcterms:W3CDTF">2018-12-03T03:01:37Z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